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5B269" w14:textId="77777777" w:rsidR="00E025DA" w:rsidRDefault="00E177AE">
      <w:pPr>
        <w:spacing w:after="60"/>
        <w:jc w:val="center"/>
      </w:pPr>
      <w:r>
        <w:rPr>
          <w:b/>
          <w:bCs/>
          <w:color w:val="1F4E5F"/>
          <w:sz w:val="32"/>
          <w:szCs w:val="32"/>
        </w:rPr>
        <w:t>PROGRAMMA DI RICERCA</w:t>
      </w:r>
    </w:p>
    <w:p w14:paraId="79B30A52" w14:textId="77777777" w:rsidR="00E025DA" w:rsidRDefault="00E177AE">
      <w:pPr>
        <w:pStyle w:val="Titolo1"/>
        <w:spacing w:after="160"/>
      </w:pPr>
      <w:r>
        <w:t>1. Titolo del programma di ricerca</w:t>
      </w:r>
    </w:p>
    <w:p w14:paraId="649FED0A" w14:textId="77777777" w:rsidR="00E025DA" w:rsidRDefault="00E177AE">
      <w:pPr>
        <w:spacing w:after="160"/>
        <w:jc w:val="both"/>
      </w:pPr>
      <w:r>
        <w:t>Ottimizzazione dei fabbisogni nutrizionali del branzino europeo (</w:t>
      </w:r>
      <w:proofErr w:type="spellStart"/>
      <w:r>
        <w:t>Dicentrarchus</w:t>
      </w:r>
      <w:proofErr w:type="spellEnd"/>
      <w:r>
        <w:t xml:space="preserve"> </w:t>
      </w:r>
      <w:proofErr w:type="spellStart"/>
      <w:r>
        <w:t>labrax</w:t>
      </w:r>
      <w:proofErr w:type="spellEnd"/>
      <w:r>
        <w:t>) adulto in scenari di cambiamento climatico: efficienza nutrizionale ed energetica in condizioni di elevata temperatura e ridotta disponibilità di ossigeno.</w:t>
      </w:r>
    </w:p>
    <w:p w14:paraId="3B1E7086" w14:textId="4CF2CFBD" w:rsidR="00E025DA" w:rsidRDefault="00E177AE">
      <w:pPr>
        <w:pStyle w:val="Titolo1"/>
        <w:spacing w:after="160"/>
      </w:pPr>
      <w:r>
        <w:t>2</w:t>
      </w:r>
      <w:r>
        <w:t>. Contesto e razionale scientifico</w:t>
      </w:r>
    </w:p>
    <w:p w14:paraId="19CF94A1" w14:textId="77777777" w:rsidR="00E025DA" w:rsidRDefault="00E177AE">
      <w:pPr>
        <w:spacing w:after="160"/>
        <w:jc w:val="both"/>
      </w:pPr>
      <w:r>
        <w:t xml:space="preserve">L'innalzamento delle temperature marine e la riduzione dell'ossigeno disciolto rappresentano </w:t>
      </w:r>
      <w:r>
        <w:t>due tra i principali effetti del cambiamento climatico sull'acquacoltura mediterranea. Nel branzino europeo, specie di rilevante interesse commerciale e particolarmente sensibile agli stress climatici, l'aumento della temperatura determina un incremento de</w:t>
      </w:r>
      <w:r>
        <w:t xml:space="preserve">lla domanda energetica per il mantenimento delle funzioni metaboliche di base, a fronte di una contestuale riduzione dell'appetito. Questo squilibrio comporta la necessità di ridefinire i rapporti tra proteine, lipidi e carboidrati nelle diete, al fine di </w:t>
      </w:r>
      <w:r>
        <w:t>sostenere la crescita e l'efficienza alimentare in condizioni ambientali future, limitando al contempo gli sprechi metabolici e nutrizionali.</w:t>
      </w:r>
    </w:p>
    <w:p w14:paraId="4B85B70F" w14:textId="77777777" w:rsidR="00E025DA" w:rsidRDefault="00E177AE">
      <w:pPr>
        <w:spacing w:after="160"/>
        <w:jc w:val="both"/>
      </w:pPr>
      <w:r>
        <w:t>La borsa si inserisce in un programma di ricerca più ampio volto allo sviluppo di formulati mangimistici a basso i</w:t>
      </w:r>
      <w:r>
        <w:t>mpatto climatico, secondo un approccio di tipo "zero-</w:t>
      </w:r>
      <w:proofErr w:type="spellStart"/>
      <w:r>
        <w:t>waste</w:t>
      </w:r>
      <w:proofErr w:type="spellEnd"/>
      <w:r>
        <w:t>", basato sull'impiego di sottoprodotti circolari di filiera ittica e di acquacoltura e di olio algale, in sostituzione di ingredienti convenzionali ad elevata impronta di carbonio.</w:t>
      </w:r>
    </w:p>
    <w:p w14:paraId="63CC9ABB" w14:textId="3633CABB" w:rsidR="00E025DA" w:rsidRDefault="00E177AE">
      <w:pPr>
        <w:pStyle w:val="Titolo1"/>
        <w:spacing w:after="160"/>
      </w:pPr>
      <w:r>
        <w:t>3</w:t>
      </w:r>
      <w:r>
        <w:t>. Obiettivi del</w:t>
      </w:r>
      <w:r>
        <w:t>la borsa</w:t>
      </w:r>
    </w:p>
    <w:p w14:paraId="3B58E16F" w14:textId="77777777" w:rsidR="00E025DA" w:rsidRDefault="00E177AE">
      <w:pPr>
        <w:pStyle w:val="Paragrafoelenco"/>
        <w:numPr>
          <w:ilvl w:val="0"/>
          <w:numId w:val="1"/>
        </w:numPr>
        <w:spacing w:after="80"/>
      </w:pPr>
      <w:r>
        <w:t>Contribuire alla messa a punto e conduzione di una prova di alimentazione su branzino adulto (200-400 g) in un sistema RAS a clima controllato, riproducendo scenari termici e di ossigenazione rappresentativi delle condizioni estivo-autunnali futur</w:t>
      </w:r>
      <w:r>
        <w:t>e nel Mediterraneo centro-meridionale.</w:t>
      </w:r>
    </w:p>
    <w:p w14:paraId="5BCD2F92" w14:textId="77777777" w:rsidR="00E025DA" w:rsidRDefault="00E177AE">
      <w:pPr>
        <w:pStyle w:val="Paragrafoelenco"/>
        <w:numPr>
          <w:ilvl w:val="0"/>
          <w:numId w:val="1"/>
        </w:numPr>
        <w:spacing w:after="80"/>
      </w:pPr>
      <w:r>
        <w:t xml:space="preserve">Supportare la formulazione di diete sperimentali con diversi rapporti </w:t>
      </w:r>
      <w:proofErr w:type="spellStart"/>
      <w:proofErr w:type="gramStart"/>
      <w:r>
        <w:t>proteine:lipidi</w:t>
      </w:r>
      <w:proofErr w:type="gramEnd"/>
      <w:r>
        <w:t>:carboidrati</w:t>
      </w:r>
      <w:proofErr w:type="spellEnd"/>
      <w:r>
        <w:t>, impiegando materie prime circolari a basso impatto ambientale.</w:t>
      </w:r>
    </w:p>
    <w:p w14:paraId="69A6E27B" w14:textId="77777777" w:rsidR="00E025DA" w:rsidRDefault="00E177AE">
      <w:pPr>
        <w:pStyle w:val="Paragrafoelenco"/>
        <w:numPr>
          <w:ilvl w:val="0"/>
          <w:numId w:val="1"/>
        </w:numPr>
        <w:spacing w:after="80"/>
      </w:pPr>
      <w:r>
        <w:t>Effettuare le analisi relative a crescita, ingestione e</w:t>
      </w:r>
      <w:r>
        <w:t>d efficienza alimentare, ritenzione di nutrienti ed energia, escrezione azotata e attività degli enzimi digestivi.</w:t>
      </w:r>
    </w:p>
    <w:p w14:paraId="424B7ED8" w14:textId="77777777" w:rsidR="00E025DA" w:rsidRDefault="00E177AE">
      <w:pPr>
        <w:pStyle w:val="Paragrafoelenco"/>
        <w:numPr>
          <w:ilvl w:val="0"/>
          <w:numId w:val="1"/>
        </w:numPr>
        <w:spacing w:after="80"/>
      </w:pPr>
      <w:r>
        <w:t>Contribuire alla valutazione dei parametri metabolici (espressione genica) e degli indicatori di appetito rilevanti per la comprensione della</w:t>
      </w:r>
      <w:r>
        <w:t xml:space="preserve"> risposta fisiologica allo stress climatico.</w:t>
      </w:r>
    </w:p>
    <w:p w14:paraId="654E0F77" w14:textId="77777777" w:rsidR="00E025DA" w:rsidRDefault="00E177AE">
      <w:pPr>
        <w:pStyle w:val="Paragrafoelenco"/>
        <w:numPr>
          <w:ilvl w:val="0"/>
          <w:numId w:val="1"/>
        </w:numPr>
        <w:spacing w:after="80"/>
      </w:pPr>
      <w:r>
        <w:t>Redigere una relazione tecnico-scientifica sui risultati ottenuti, propedeutica alla prosecuzione della sperimentazione nelle successive finestre climatiche.</w:t>
      </w:r>
    </w:p>
    <w:p w14:paraId="7EB430C0" w14:textId="091A4F6D" w:rsidR="00E025DA" w:rsidRDefault="00E177AE">
      <w:pPr>
        <w:pStyle w:val="Titolo1"/>
        <w:spacing w:after="160"/>
      </w:pPr>
      <w:r>
        <w:t>4</w:t>
      </w:r>
      <w:r>
        <w:t>. Articolazione delle attività (cronoprogramma)</w:t>
      </w:r>
    </w:p>
    <w:p w14:paraId="61BF44DC" w14:textId="77777777" w:rsidR="00E025DA" w:rsidRDefault="00E177AE">
      <w:pPr>
        <w:spacing w:after="160"/>
        <w:jc w:val="both"/>
      </w:pPr>
      <w:r>
        <w:t>Il p</w:t>
      </w:r>
      <w:r>
        <w:t>rogramma è articolato su un arco temporale di 6 mesi e costituisce la prima fase di un percorso sperimentale più ampio, focalizzata sulla prima finestra termica di prova.</w:t>
      </w:r>
    </w:p>
    <w:tbl>
      <w:tblPr>
        <w:tblW w:w="9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3600"/>
        <w:gridCol w:w="5300"/>
      </w:tblGrid>
      <w:tr w:rsidR="00E025DA" w14:paraId="2244A8B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shd w:val="clear" w:color="auto" w:fill="1F4E5F"/>
            <w:vAlign w:val="center"/>
          </w:tcPr>
          <w:p w14:paraId="01C1A9BB" w14:textId="77777777" w:rsidR="00E025DA" w:rsidRDefault="00E177AE">
            <w:proofErr w:type="spellStart"/>
            <w:r>
              <w:rPr>
                <w:b/>
                <w:bCs/>
                <w:color w:val="FFFFFF"/>
                <w:sz w:val="20"/>
                <w:szCs w:val="20"/>
              </w:rPr>
              <w:t>Header</w:t>
            </w:r>
            <w:proofErr w:type="spellEnd"/>
          </w:p>
        </w:tc>
        <w:tc>
          <w:tcPr>
            <w:tcW w:w="3600" w:type="dxa"/>
            <w:shd w:val="clear" w:color="auto" w:fill="1F4E5F"/>
            <w:vAlign w:val="center"/>
          </w:tcPr>
          <w:p w14:paraId="7D991D6F" w14:textId="77777777" w:rsidR="00E025DA" w:rsidRDefault="00E177AE">
            <w:r>
              <w:rPr>
                <w:b/>
                <w:bCs/>
                <w:color w:val="FFFFFF"/>
                <w:sz w:val="20"/>
                <w:szCs w:val="20"/>
              </w:rPr>
              <w:t>Attività</w:t>
            </w:r>
          </w:p>
        </w:tc>
        <w:tc>
          <w:tcPr>
            <w:tcW w:w="5300" w:type="dxa"/>
            <w:shd w:val="clear" w:color="auto" w:fill="1F4E5F"/>
            <w:vAlign w:val="center"/>
          </w:tcPr>
          <w:p w14:paraId="760B157F" w14:textId="77777777" w:rsidR="00E025DA" w:rsidRDefault="00E177AE">
            <w:r>
              <w:rPr>
                <w:b/>
                <w:bCs/>
                <w:color w:val="FFFFFF"/>
                <w:sz w:val="20"/>
                <w:szCs w:val="20"/>
              </w:rPr>
              <w:t>Dettaglio</w:t>
            </w:r>
          </w:p>
        </w:tc>
      </w:tr>
      <w:tr w:rsidR="00E025DA" w14:paraId="072A24F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3F0A4163" w14:textId="77777777" w:rsidR="00E025DA" w:rsidRDefault="00E177AE">
            <w:r>
              <w:rPr>
                <w:sz w:val="20"/>
                <w:szCs w:val="20"/>
              </w:rPr>
              <w:t>Mese 1</w:t>
            </w:r>
          </w:p>
        </w:tc>
        <w:tc>
          <w:tcPr>
            <w:tcW w:w="3600" w:type="dxa"/>
            <w:vAlign w:val="center"/>
          </w:tcPr>
          <w:p w14:paraId="077B4DEE" w14:textId="77777777" w:rsidR="00E025DA" w:rsidRDefault="00E177AE">
            <w:r>
              <w:rPr>
                <w:sz w:val="20"/>
                <w:szCs w:val="20"/>
              </w:rPr>
              <w:t>Messa a punto del protocollo sperimentale</w:t>
            </w:r>
          </w:p>
        </w:tc>
        <w:tc>
          <w:tcPr>
            <w:tcW w:w="5300" w:type="dxa"/>
            <w:vAlign w:val="center"/>
          </w:tcPr>
          <w:p w14:paraId="20696A92" w14:textId="77777777" w:rsidR="00E025DA" w:rsidRDefault="00E177AE">
            <w:r>
              <w:rPr>
                <w:sz w:val="20"/>
                <w:szCs w:val="20"/>
              </w:rPr>
              <w:t xml:space="preserve">Definizione delle finestre termiche (in accordo con le proiezioni climatiche del WP1 di riferimento), formulazione delle diete sperimentali con diversi rapporti </w:t>
            </w:r>
            <w:proofErr w:type="spellStart"/>
            <w:proofErr w:type="gramStart"/>
            <w:r>
              <w:rPr>
                <w:sz w:val="20"/>
                <w:szCs w:val="20"/>
              </w:rPr>
              <w:t>proteine:lipidi</w:t>
            </w:r>
            <w:proofErr w:type="gramEnd"/>
            <w:r>
              <w:rPr>
                <w:sz w:val="20"/>
                <w:szCs w:val="20"/>
              </w:rPr>
              <w:t>:carboidrati</w:t>
            </w:r>
            <w:proofErr w:type="spellEnd"/>
            <w:r>
              <w:rPr>
                <w:sz w:val="20"/>
                <w:szCs w:val="20"/>
              </w:rPr>
              <w:t>, selezione degli ingredie</w:t>
            </w:r>
            <w:r>
              <w:rPr>
                <w:sz w:val="20"/>
                <w:szCs w:val="20"/>
              </w:rPr>
              <w:t>nti circolari a basso impatto (sottoprodotti di filiera ittica e olio algale), approvvigionamento materie prime.</w:t>
            </w:r>
          </w:p>
        </w:tc>
      </w:tr>
      <w:tr w:rsidR="00E025DA" w14:paraId="5A87EA6B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76D95EA9" w14:textId="77777777" w:rsidR="00E025DA" w:rsidRDefault="00E177AE">
            <w:r>
              <w:rPr>
                <w:sz w:val="20"/>
                <w:szCs w:val="20"/>
              </w:rPr>
              <w:t>Mese 2</w:t>
            </w:r>
          </w:p>
        </w:tc>
        <w:tc>
          <w:tcPr>
            <w:tcW w:w="3600" w:type="dxa"/>
            <w:vAlign w:val="center"/>
          </w:tcPr>
          <w:p w14:paraId="0C11836A" w14:textId="77777777" w:rsidR="00E025DA" w:rsidRDefault="00E177AE">
            <w:r>
              <w:rPr>
                <w:sz w:val="20"/>
                <w:szCs w:val="20"/>
              </w:rPr>
              <w:t>Produzione delle diete e allestimento dell'impianto</w:t>
            </w:r>
          </w:p>
        </w:tc>
        <w:tc>
          <w:tcPr>
            <w:tcW w:w="5300" w:type="dxa"/>
            <w:vAlign w:val="center"/>
          </w:tcPr>
          <w:p w14:paraId="16EB4377" w14:textId="77777777" w:rsidR="00E025DA" w:rsidRDefault="00E177AE">
            <w:r>
              <w:rPr>
                <w:sz w:val="20"/>
                <w:szCs w:val="20"/>
              </w:rPr>
              <w:t>Produzione/formulazione in laboratorio delle diete sperimentali, verifica dei parametri chimico-fisici (composizione prossimale), allestimento del sistema RAS a temperatura e ossigenazione controllate, acclimatazione dei branzini (200-400 g).</w:t>
            </w:r>
          </w:p>
        </w:tc>
      </w:tr>
      <w:tr w:rsidR="00E025DA" w14:paraId="313C123C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2B3901EF" w14:textId="77777777" w:rsidR="00E025DA" w:rsidRDefault="00E177AE">
            <w:r>
              <w:rPr>
                <w:sz w:val="20"/>
                <w:szCs w:val="20"/>
              </w:rPr>
              <w:t>Mese 3</w:t>
            </w:r>
          </w:p>
        </w:tc>
        <w:tc>
          <w:tcPr>
            <w:tcW w:w="3600" w:type="dxa"/>
            <w:vAlign w:val="center"/>
          </w:tcPr>
          <w:p w14:paraId="450BF95A" w14:textId="77777777" w:rsidR="00E025DA" w:rsidRDefault="00E177AE">
            <w:r>
              <w:rPr>
                <w:sz w:val="20"/>
                <w:szCs w:val="20"/>
              </w:rPr>
              <w:t>Avvio</w:t>
            </w:r>
            <w:r>
              <w:rPr>
                <w:sz w:val="20"/>
                <w:szCs w:val="20"/>
              </w:rPr>
              <w:t xml:space="preserve"> della prova di alimentazione – prima finestra termica</w:t>
            </w:r>
          </w:p>
        </w:tc>
        <w:tc>
          <w:tcPr>
            <w:tcW w:w="5300" w:type="dxa"/>
            <w:vAlign w:val="center"/>
          </w:tcPr>
          <w:p w14:paraId="7769CF21" w14:textId="77777777" w:rsidR="00E025DA" w:rsidRDefault="00E177AE">
            <w:r>
              <w:rPr>
                <w:sz w:val="20"/>
                <w:szCs w:val="20"/>
              </w:rPr>
              <w:t xml:space="preserve">Avvio della prova con alimentazione in prossimità della sazietà, monitoraggio giornaliero di temperatura, ossigeno disciolto e </w:t>
            </w:r>
            <w:r>
              <w:rPr>
                <w:sz w:val="20"/>
                <w:szCs w:val="20"/>
              </w:rPr>
              <w:lastRenderedPageBreak/>
              <w:t>parametri di qualità dell'acqua, registrazione dell'assunzione di mangime.</w:t>
            </w:r>
          </w:p>
        </w:tc>
      </w:tr>
      <w:tr w:rsidR="00E025DA" w14:paraId="55A92AC0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68945B57" w14:textId="77777777" w:rsidR="00E025DA" w:rsidRDefault="00E177AE">
            <w:r>
              <w:rPr>
                <w:sz w:val="20"/>
                <w:szCs w:val="20"/>
              </w:rPr>
              <w:lastRenderedPageBreak/>
              <w:t>Mese 4</w:t>
            </w:r>
          </w:p>
        </w:tc>
        <w:tc>
          <w:tcPr>
            <w:tcW w:w="3600" w:type="dxa"/>
            <w:vAlign w:val="center"/>
          </w:tcPr>
          <w:p w14:paraId="1E8106C1" w14:textId="77777777" w:rsidR="00E025DA" w:rsidRDefault="00E177AE">
            <w:r>
              <w:rPr>
                <w:sz w:val="20"/>
                <w:szCs w:val="20"/>
              </w:rPr>
              <w:t>Prosecuzione della prova e campionamenti intermedi</w:t>
            </w:r>
          </w:p>
        </w:tc>
        <w:tc>
          <w:tcPr>
            <w:tcW w:w="5300" w:type="dxa"/>
            <w:vAlign w:val="center"/>
          </w:tcPr>
          <w:p w14:paraId="56ECCE0A" w14:textId="77777777" w:rsidR="00E025DA" w:rsidRDefault="00E177AE">
            <w:r>
              <w:rPr>
                <w:sz w:val="20"/>
                <w:szCs w:val="20"/>
              </w:rPr>
              <w:t>Prosecuzione della prova di alimentazione, campionamenti intermedi per la valutazione dei parametri di crescita e degli indicatori di appetito, prime analisi di digeribilità.</w:t>
            </w:r>
          </w:p>
        </w:tc>
      </w:tr>
      <w:tr w:rsidR="00E025DA" w14:paraId="0398BF3E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55D9EEC7" w14:textId="77777777" w:rsidR="00E025DA" w:rsidRDefault="00E177AE">
            <w:r>
              <w:rPr>
                <w:sz w:val="20"/>
                <w:szCs w:val="20"/>
              </w:rPr>
              <w:t>Mese 5</w:t>
            </w:r>
          </w:p>
        </w:tc>
        <w:tc>
          <w:tcPr>
            <w:tcW w:w="3600" w:type="dxa"/>
            <w:vAlign w:val="center"/>
          </w:tcPr>
          <w:p w14:paraId="24AA18C5" w14:textId="77777777" w:rsidR="00E025DA" w:rsidRDefault="00E177AE">
            <w:r>
              <w:rPr>
                <w:sz w:val="20"/>
                <w:szCs w:val="20"/>
              </w:rPr>
              <w:t>Campionamenti</w:t>
            </w:r>
            <w:r>
              <w:rPr>
                <w:sz w:val="20"/>
                <w:szCs w:val="20"/>
              </w:rPr>
              <w:t xml:space="preserve"> finali e analisi di laboratorio</w:t>
            </w:r>
          </w:p>
        </w:tc>
        <w:tc>
          <w:tcPr>
            <w:tcW w:w="5300" w:type="dxa"/>
            <w:vAlign w:val="center"/>
          </w:tcPr>
          <w:p w14:paraId="2C84F431" w14:textId="77777777" w:rsidR="00E025DA" w:rsidRDefault="00E177AE">
            <w:r>
              <w:rPr>
                <w:sz w:val="20"/>
                <w:szCs w:val="20"/>
              </w:rPr>
              <w:t>Campionamento finale per la determinazione di parametri di crescita, ritenzione di nutrienti ed energia, escrezione azotata, attività degli enzimi digestivi (pepsina, tripsina, lipasi, amilasi), espressione genica di marcat</w:t>
            </w:r>
            <w:r>
              <w:rPr>
                <w:sz w:val="20"/>
                <w:szCs w:val="20"/>
              </w:rPr>
              <w:t xml:space="preserve">ori del metabolismo energetico (es. citocromo C ossidasi) e dell'appetito (grelina, </w:t>
            </w:r>
            <w:proofErr w:type="spellStart"/>
            <w:r>
              <w:rPr>
                <w:sz w:val="20"/>
                <w:szCs w:val="20"/>
              </w:rPr>
              <w:t>proopiomelanocortina</w:t>
            </w:r>
            <w:proofErr w:type="spellEnd"/>
            <w:r>
              <w:rPr>
                <w:sz w:val="20"/>
                <w:szCs w:val="20"/>
              </w:rPr>
              <w:t>).</w:t>
            </w:r>
          </w:p>
        </w:tc>
      </w:tr>
      <w:tr w:rsidR="00E025DA" w14:paraId="36B42A42" w14:textId="77777777">
        <w:tblPrEx>
          <w:tblCellMar>
            <w:top w:w="0" w:type="dxa"/>
            <w:bottom w:w="0" w:type="dxa"/>
          </w:tblCellMar>
        </w:tblPrEx>
        <w:tc>
          <w:tcPr>
            <w:tcW w:w="900" w:type="dxa"/>
            <w:vAlign w:val="center"/>
          </w:tcPr>
          <w:p w14:paraId="15ED4CEC" w14:textId="77777777" w:rsidR="00E025DA" w:rsidRDefault="00E177AE">
            <w:r>
              <w:rPr>
                <w:sz w:val="20"/>
                <w:szCs w:val="20"/>
              </w:rPr>
              <w:t>Mese 6</w:t>
            </w:r>
          </w:p>
        </w:tc>
        <w:tc>
          <w:tcPr>
            <w:tcW w:w="3600" w:type="dxa"/>
            <w:vAlign w:val="center"/>
          </w:tcPr>
          <w:p w14:paraId="4BACB155" w14:textId="77777777" w:rsidR="00E025DA" w:rsidRDefault="00E177AE">
            <w:r>
              <w:rPr>
                <w:sz w:val="20"/>
                <w:szCs w:val="20"/>
              </w:rPr>
              <w:t>Elaborazione dati e reportistica</w:t>
            </w:r>
          </w:p>
        </w:tc>
        <w:tc>
          <w:tcPr>
            <w:tcW w:w="5300" w:type="dxa"/>
            <w:vAlign w:val="center"/>
          </w:tcPr>
          <w:p w14:paraId="3B1BDB2D" w14:textId="77777777" w:rsidR="00E025DA" w:rsidRDefault="00E177AE">
            <w:r>
              <w:rPr>
                <w:sz w:val="20"/>
                <w:szCs w:val="20"/>
              </w:rPr>
              <w:t>Analisi statistica dei dati raccolti, redazione della relazione finale sui risultati ottenuti nella prima fi</w:t>
            </w:r>
            <w:r>
              <w:rPr>
                <w:sz w:val="20"/>
                <w:szCs w:val="20"/>
              </w:rPr>
              <w:t>nestra termica testata, indicazioni per la prosecuzione della sperimentazione nelle successive finestre climatiche.</w:t>
            </w:r>
          </w:p>
        </w:tc>
      </w:tr>
    </w:tbl>
    <w:p w14:paraId="38C608CF" w14:textId="77777777" w:rsidR="00E025DA" w:rsidRDefault="00E025DA">
      <w:pPr>
        <w:spacing w:after="200"/>
      </w:pPr>
    </w:p>
    <w:p w14:paraId="204CB715" w14:textId="4890A3B1" w:rsidR="00E025DA" w:rsidRDefault="00E177AE">
      <w:pPr>
        <w:pStyle w:val="Titolo1"/>
        <w:spacing w:after="160"/>
      </w:pPr>
      <w:r>
        <w:t>5</w:t>
      </w:r>
      <w:r>
        <w:t>. Metodologia e procedure analitiche</w:t>
      </w:r>
    </w:p>
    <w:p w14:paraId="3A1857DA" w14:textId="5584D80F" w:rsidR="00E025DA" w:rsidRDefault="00E177AE">
      <w:pPr>
        <w:spacing w:after="160"/>
        <w:jc w:val="both"/>
      </w:pPr>
      <w:r>
        <w:t>La sperimentazione sarà condotta presso un impianto RAS automatizzato a clima controllato, in grado di riprodurre le condizioni di temperatura e ossigenazione previste per gli scenari climatici futuri (dati derivati da proiezioni climatiche regionali) posto presso il Centro Universitario di Produzioni Ittiche a Cesenatico</w:t>
      </w:r>
      <w:r>
        <w:t>. I b</w:t>
      </w:r>
      <w:r>
        <w:t>ranzini (200-400 g) saranno alimentati in prossimità della sazietà con 6-7 diete sperimentali, formulate secondo un concetto di zero-</w:t>
      </w:r>
      <w:proofErr w:type="spellStart"/>
      <w:r>
        <w:t>waste</w:t>
      </w:r>
      <w:proofErr w:type="spellEnd"/>
      <w:r>
        <w:t xml:space="preserve"> e impiegando ingredienti circolari selezionati in base a disponibilità di mercato, costo e impronta di carbonio.</w:t>
      </w:r>
    </w:p>
    <w:p w14:paraId="52EF1B03" w14:textId="77777777" w:rsidR="00E025DA" w:rsidRDefault="00E177AE">
      <w:pPr>
        <w:spacing w:after="160"/>
        <w:jc w:val="both"/>
      </w:pPr>
      <w:r>
        <w:t>Le p</w:t>
      </w:r>
      <w:r>
        <w:t>rocedure analitiche previste includono: parametri di crescita e indici biometrici; ingestione e utilizzazione del mangime; digeribilità di proteine, carboidrati, lipidi ed energia; attività enzimatica digestiva (pepsina, tripsina, lipasi, amilasi); metabol</w:t>
      </w:r>
      <w:r>
        <w:t xml:space="preserve">ismo energetico epatico (espressione genica </w:t>
      </w:r>
      <w:proofErr w:type="gramStart"/>
      <w:r>
        <w:t>della citocromo</w:t>
      </w:r>
      <w:proofErr w:type="gramEnd"/>
      <w:r>
        <w:t xml:space="preserve"> C ossidasi); indicatori di appetito e assunzione di cibo (grelina e </w:t>
      </w:r>
      <w:proofErr w:type="spellStart"/>
      <w:r>
        <w:t>proopiomelanocortina</w:t>
      </w:r>
      <w:proofErr w:type="spellEnd"/>
      <w:r>
        <w:t>); parametri di crescita e sviluppo (ormone della crescita e relativo fattore inibitorio).</w:t>
      </w:r>
    </w:p>
    <w:p w14:paraId="39EC339B" w14:textId="104E7BB1" w:rsidR="00E025DA" w:rsidRDefault="00E177AE">
      <w:pPr>
        <w:pStyle w:val="Titolo1"/>
        <w:spacing w:after="160"/>
      </w:pPr>
      <w:r>
        <w:t>6</w:t>
      </w:r>
      <w:r>
        <w:t>. Risultati atte</w:t>
      </w:r>
      <w:r>
        <w:t>si</w:t>
      </w:r>
    </w:p>
    <w:p w14:paraId="3584A244" w14:textId="77777777" w:rsidR="00E025DA" w:rsidRDefault="00E177AE">
      <w:pPr>
        <w:spacing w:after="160"/>
        <w:jc w:val="both"/>
      </w:pPr>
      <w:r>
        <w:t xml:space="preserve">Al termine dei sei mesi il borsista contribuirà alla produzione di un primo set di dati sperimentali relativi alla prima finestra termica testata, utili alla definizione del rapporto </w:t>
      </w:r>
      <w:proofErr w:type="spellStart"/>
      <w:r>
        <w:t>macronutrizionale</w:t>
      </w:r>
      <w:proofErr w:type="spellEnd"/>
      <w:r>
        <w:t xml:space="preserve"> ottimale per sostenere crescita ed efficienza alimen</w:t>
      </w:r>
      <w:r>
        <w:t>tare del branzino in condizioni di elevata temperatura e ridotta ossigenazione. I risultati costituiranno la base per la prosecuzione della sperimentazione nelle successive finestre climatiche e per il successivo trasferimento delle formulazioni a scala in</w:t>
      </w:r>
      <w:r>
        <w:t>dustriale.</w:t>
      </w:r>
    </w:p>
    <w:p w14:paraId="2D82CD38" w14:textId="0E296D57" w:rsidR="00E025DA" w:rsidRDefault="00E025DA">
      <w:pPr>
        <w:spacing w:after="160"/>
        <w:jc w:val="both"/>
      </w:pPr>
    </w:p>
    <w:sectPr w:rsidR="00E025DA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BD7225"/>
    <w:multiLevelType w:val="hybridMultilevel"/>
    <w:tmpl w:val="AED24580"/>
    <w:lvl w:ilvl="0" w:tplc="91169866">
      <w:start w:val="1"/>
      <w:numFmt w:val="bullet"/>
      <w:lvlText w:val="●"/>
      <w:lvlJc w:val="left"/>
      <w:pPr>
        <w:ind w:left="720" w:hanging="360"/>
      </w:pPr>
    </w:lvl>
    <w:lvl w:ilvl="1" w:tplc="1C380B60">
      <w:start w:val="1"/>
      <w:numFmt w:val="bullet"/>
      <w:lvlText w:val="○"/>
      <w:lvlJc w:val="left"/>
      <w:pPr>
        <w:ind w:left="1440" w:hanging="360"/>
      </w:pPr>
    </w:lvl>
    <w:lvl w:ilvl="2" w:tplc="BB66D66E">
      <w:start w:val="1"/>
      <w:numFmt w:val="bullet"/>
      <w:lvlText w:val="■"/>
      <w:lvlJc w:val="left"/>
      <w:pPr>
        <w:ind w:left="2160" w:hanging="360"/>
      </w:pPr>
    </w:lvl>
    <w:lvl w:ilvl="3" w:tplc="CE5E8C42">
      <w:start w:val="1"/>
      <w:numFmt w:val="bullet"/>
      <w:lvlText w:val="●"/>
      <w:lvlJc w:val="left"/>
      <w:pPr>
        <w:ind w:left="2880" w:hanging="360"/>
      </w:pPr>
    </w:lvl>
    <w:lvl w:ilvl="4" w:tplc="4B82495C">
      <w:start w:val="1"/>
      <w:numFmt w:val="bullet"/>
      <w:lvlText w:val="○"/>
      <w:lvlJc w:val="left"/>
      <w:pPr>
        <w:ind w:left="3600" w:hanging="360"/>
      </w:pPr>
    </w:lvl>
    <w:lvl w:ilvl="5" w:tplc="CF688408">
      <w:start w:val="1"/>
      <w:numFmt w:val="bullet"/>
      <w:lvlText w:val="■"/>
      <w:lvlJc w:val="left"/>
      <w:pPr>
        <w:ind w:left="4320" w:hanging="360"/>
      </w:pPr>
    </w:lvl>
    <w:lvl w:ilvl="6" w:tplc="9C7CC770">
      <w:start w:val="1"/>
      <w:numFmt w:val="bullet"/>
      <w:lvlText w:val="●"/>
      <w:lvlJc w:val="left"/>
      <w:pPr>
        <w:ind w:left="5040" w:hanging="360"/>
      </w:pPr>
    </w:lvl>
    <w:lvl w:ilvl="7" w:tplc="CDB65C1E">
      <w:start w:val="1"/>
      <w:numFmt w:val="bullet"/>
      <w:lvlText w:val="●"/>
      <w:lvlJc w:val="left"/>
      <w:pPr>
        <w:ind w:left="5760" w:hanging="360"/>
      </w:pPr>
    </w:lvl>
    <w:lvl w:ilvl="8" w:tplc="48987C9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5DA"/>
    <w:rsid w:val="00E025DA"/>
    <w:rsid w:val="00E17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F8765"/>
  <w15:docId w15:val="{D3FE0746-D4A6-44DC-BACF-C38324C60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spacing w:before="280" w:after="140"/>
      <w:outlineLvl w:val="0"/>
    </w:pPr>
    <w:rPr>
      <w:b/>
      <w:bCs/>
      <w:color w:val="1F4E5F"/>
      <w:sz w:val="26"/>
      <w:szCs w:val="26"/>
    </w:rPr>
  </w:style>
  <w:style w:type="paragraph" w:styleId="Titolo2">
    <w:name w:val="heading 2"/>
    <w:uiPriority w:val="9"/>
    <w:semiHidden/>
    <w:unhideWhenUsed/>
    <w:qFormat/>
    <w:pPr>
      <w:spacing w:before="200" w:after="100"/>
      <w:outlineLvl w:val="1"/>
    </w:pPr>
    <w:rPr>
      <w:b/>
      <w:bCs/>
      <w:color w:val="2E6B80"/>
      <w:sz w:val="23"/>
      <w:szCs w:val="23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920</Words>
  <Characters>5246</Characters>
  <Application>Microsoft Office Word</Application>
  <DocSecurity>0</DocSecurity>
  <Lines>43</Lines>
  <Paragraphs>12</Paragraphs>
  <ScaleCrop>false</ScaleCrop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Alessio Bonaldo</cp:lastModifiedBy>
  <cp:revision>2</cp:revision>
  <dcterms:created xsi:type="dcterms:W3CDTF">2026-07-17T07:20:00Z</dcterms:created>
  <dcterms:modified xsi:type="dcterms:W3CDTF">2026-07-17T07:20:00Z</dcterms:modified>
</cp:coreProperties>
</file>